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t>9</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t>10</w:t>
      </w:r>
      <w: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t>11</w:t>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t>12</w:t>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t>13</w:t>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t>14</w:t>
      </w:r>
      <w: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t>14</w:t>
      </w:r>
      <w:r>
        <w:fldChar w:fldCharType="end"/>
      </w:r>
    </w:p>
    <w:p>
      <w:pPr>
        <w:pStyle w:val="7"/>
        <w:tabs>
          <w:tab w:val="right" w:leader="dot" w:pos="14562"/>
        </w:tabs>
      </w:pPr>
      <w:r>
        <w:fldChar w:fldCharType="begin"/>
      </w:r>
      <w:r>
        <w:instrText xml:space="preserve"> HYPERLINK \l "_Toc_3_3_0000000012" </w:instrText>
      </w:r>
      <w:r>
        <w:fldChar w:fldCharType="separate"/>
      </w:r>
      <w:r>
        <w:t>三、</w:t>
      </w:r>
      <w:r>
        <w:rPr>
          <w:rFonts w:hint="eastAsia"/>
          <w:lang w:eastAsia="zh-CN"/>
        </w:rPr>
        <w:t>单位</w:t>
      </w:r>
      <w:r>
        <w:t>经费安排情况</w:t>
      </w:r>
      <w:r>
        <w:tab/>
      </w:r>
      <w:r>
        <w:t>15</w:t>
      </w:r>
      <w: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t>15</w:t>
      </w:r>
      <w: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t>15</w:t>
      </w:r>
      <w: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t>21</w:t>
      </w:r>
      <w:r>
        <w:fldChar w:fldCharType="end"/>
      </w:r>
    </w:p>
    <w:p>
      <w:pPr>
        <w:pStyle w:val="7"/>
        <w:tabs>
          <w:tab w:val="right" w:leader="dot" w:pos="14562"/>
        </w:tabs>
      </w:pPr>
      <w:r>
        <w:fldChar w:fldCharType="begin"/>
      </w:r>
      <w:r>
        <w:instrText xml:space="preserve"> HYPERLINK \l "_Toc_3_3_0000000016" </w:instrText>
      </w:r>
      <w:r>
        <w:fldChar w:fldCharType="separate"/>
      </w:r>
      <w:r>
        <w:t>七、国有资产信息</w:t>
      </w:r>
      <w:r>
        <w:tab/>
      </w:r>
      <w:r>
        <w:t>21</w:t>
      </w:r>
      <w: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t>22</w:t>
      </w:r>
      <w:r>
        <w:fldChar w:fldCharType="end"/>
      </w:r>
    </w:p>
    <w:p>
      <w:pPr>
        <w:pStyle w:val="7"/>
        <w:tabs>
          <w:tab w:val="right" w:leader="dot" w:pos="14562"/>
        </w:tabs>
      </w:pPr>
      <w:r>
        <w:fldChar w:fldCharType="begin"/>
      </w:r>
      <w:r>
        <w:instrText xml:space="preserve"> HYPERLINK \l "_Toc_3_3_0000000018" </w:instrText>
      </w:r>
      <w:r>
        <w:fldChar w:fldCharType="separate"/>
      </w:r>
      <w:r>
        <w:t>九、其他需要说明的事项</w:t>
      </w:r>
      <w:r>
        <w:tab/>
      </w:r>
      <w:r>
        <w:t>23</w:t>
      </w:r>
      <w:r>
        <w:fldChar w:fldCharType="end"/>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九十五、霸州市东段乡第二小学收支预算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501607霸州市东段乡第二小学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763.16</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763.16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763.16</w:t>
            </w:r>
          </w:p>
        </w:tc>
        <w:tc>
          <w:tcPr>
            <w:tcW w:w="4535" w:type="dxa"/>
            <w:vAlign w:val="center"/>
          </w:tcPr>
          <w:p>
            <w:pPr>
              <w:pStyle w:val="24"/>
            </w:pPr>
            <w:r>
              <w:t>本年支出合计</w:t>
            </w:r>
          </w:p>
        </w:tc>
        <w:tc>
          <w:tcPr>
            <w:tcW w:w="2126" w:type="dxa"/>
            <w:vAlign w:val="center"/>
          </w:tcPr>
          <w:p>
            <w:pPr>
              <w:pStyle w:val="25"/>
            </w:pPr>
            <w:r>
              <w:t>763.16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763.16</w:t>
            </w:r>
          </w:p>
        </w:tc>
        <w:tc>
          <w:tcPr>
            <w:tcW w:w="4535" w:type="dxa"/>
            <w:vAlign w:val="center"/>
          </w:tcPr>
          <w:p>
            <w:pPr>
              <w:pStyle w:val="24"/>
            </w:pPr>
            <w:r>
              <w:t>支出总计</w:t>
            </w:r>
          </w:p>
        </w:tc>
        <w:tc>
          <w:tcPr>
            <w:tcW w:w="2126" w:type="dxa"/>
            <w:vAlign w:val="center"/>
          </w:tcPr>
          <w:p>
            <w:pPr>
              <w:pStyle w:val="25"/>
            </w:pPr>
            <w:r>
              <w:t>763.16</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501607霸州市东段乡第二小学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763.16</w:t>
            </w:r>
          </w:p>
        </w:tc>
        <w:tc>
          <w:tcPr>
            <w:tcW w:w="1134" w:type="dxa"/>
            <w:vAlign w:val="center"/>
          </w:tcPr>
          <w:p>
            <w:pPr>
              <w:pStyle w:val="25"/>
            </w:pPr>
            <w:r>
              <w:t>763.16</w:t>
            </w:r>
          </w:p>
        </w:tc>
        <w:tc>
          <w:tcPr>
            <w:tcW w:w="1134" w:type="dxa"/>
            <w:vAlign w:val="center"/>
          </w:tcPr>
          <w:p>
            <w:pPr>
              <w:pStyle w:val="25"/>
            </w:pPr>
            <w:r>
              <w:t>763.16</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763.16</w:t>
            </w:r>
          </w:p>
        </w:tc>
        <w:tc>
          <w:tcPr>
            <w:tcW w:w="1134" w:type="dxa"/>
            <w:vAlign w:val="center"/>
          </w:tcPr>
          <w:p>
            <w:pPr>
              <w:pStyle w:val="21"/>
            </w:pPr>
            <w:r>
              <w:t>763.16</w:t>
            </w:r>
          </w:p>
        </w:tc>
        <w:tc>
          <w:tcPr>
            <w:tcW w:w="1134" w:type="dxa"/>
            <w:vAlign w:val="center"/>
          </w:tcPr>
          <w:p>
            <w:pPr>
              <w:pStyle w:val="21"/>
            </w:pPr>
            <w:r>
              <w:t>763.16</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763.16</w:t>
            </w:r>
          </w:p>
        </w:tc>
        <w:tc>
          <w:tcPr>
            <w:tcW w:w="1134" w:type="dxa"/>
            <w:vAlign w:val="center"/>
          </w:tcPr>
          <w:p>
            <w:pPr>
              <w:pStyle w:val="21"/>
            </w:pPr>
            <w:r>
              <w:t>763.16</w:t>
            </w:r>
          </w:p>
        </w:tc>
        <w:tc>
          <w:tcPr>
            <w:tcW w:w="1134" w:type="dxa"/>
            <w:vAlign w:val="center"/>
          </w:tcPr>
          <w:p>
            <w:pPr>
              <w:pStyle w:val="21"/>
            </w:pPr>
            <w:r>
              <w:t>763.16</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9.80</w:t>
            </w:r>
          </w:p>
        </w:tc>
        <w:tc>
          <w:tcPr>
            <w:tcW w:w="1134" w:type="dxa"/>
            <w:vAlign w:val="center"/>
          </w:tcPr>
          <w:p>
            <w:pPr>
              <w:pStyle w:val="21"/>
            </w:pPr>
            <w:r>
              <w:t>9.80</w:t>
            </w:r>
          </w:p>
        </w:tc>
        <w:tc>
          <w:tcPr>
            <w:tcW w:w="1134" w:type="dxa"/>
            <w:vAlign w:val="center"/>
          </w:tcPr>
          <w:p>
            <w:pPr>
              <w:pStyle w:val="21"/>
            </w:pPr>
            <w:r>
              <w:t>9.80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753.36</w:t>
            </w:r>
          </w:p>
        </w:tc>
        <w:tc>
          <w:tcPr>
            <w:tcW w:w="1134" w:type="dxa"/>
            <w:vAlign w:val="center"/>
          </w:tcPr>
          <w:p>
            <w:pPr>
              <w:pStyle w:val="21"/>
            </w:pPr>
            <w:r>
              <w:t>753.36</w:t>
            </w:r>
          </w:p>
        </w:tc>
        <w:tc>
          <w:tcPr>
            <w:tcW w:w="1134" w:type="dxa"/>
            <w:vAlign w:val="center"/>
          </w:tcPr>
          <w:p>
            <w:pPr>
              <w:pStyle w:val="21"/>
            </w:pPr>
            <w:r>
              <w:t>753.36</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501607霸州市东段乡第二小学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763.16</w:t>
            </w:r>
          </w:p>
        </w:tc>
        <w:tc>
          <w:tcPr>
            <w:tcW w:w="1361" w:type="dxa"/>
            <w:vAlign w:val="center"/>
          </w:tcPr>
          <w:p>
            <w:pPr>
              <w:pStyle w:val="25"/>
            </w:pPr>
            <w:r>
              <w:t>691.55</w:t>
            </w:r>
          </w:p>
        </w:tc>
        <w:tc>
          <w:tcPr>
            <w:tcW w:w="1361" w:type="dxa"/>
            <w:vAlign w:val="center"/>
          </w:tcPr>
          <w:p>
            <w:pPr>
              <w:pStyle w:val="25"/>
            </w:pPr>
            <w:r>
              <w:t>71.61</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763.16</w:t>
            </w:r>
          </w:p>
        </w:tc>
        <w:tc>
          <w:tcPr>
            <w:tcW w:w="1361" w:type="dxa"/>
            <w:vAlign w:val="center"/>
          </w:tcPr>
          <w:p>
            <w:pPr>
              <w:pStyle w:val="21"/>
            </w:pPr>
            <w:r>
              <w:t>691.55</w:t>
            </w:r>
          </w:p>
        </w:tc>
        <w:tc>
          <w:tcPr>
            <w:tcW w:w="1361" w:type="dxa"/>
            <w:vAlign w:val="center"/>
          </w:tcPr>
          <w:p>
            <w:pPr>
              <w:pStyle w:val="21"/>
            </w:pPr>
            <w:r>
              <w:t>71.61</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763.16</w:t>
            </w:r>
          </w:p>
        </w:tc>
        <w:tc>
          <w:tcPr>
            <w:tcW w:w="1361" w:type="dxa"/>
            <w:vAlign w:val="center"/>
          </w:tcPr>
          <w:p>
            <w:pPr>
              <w:pStyle w:val="21"/>
            </w:pPr>
            <w:r>
              <w:t>691.55</w:t>
            </w:r>
          </w:p>
        </w:tc>
        <w:tc>
          <w:tcPr>
            <w:tcW w:w="1361" w:type="dxa"/>
            <w:vAlign w:val="center"/>
          </w:tcPr>
          <w:p>
            <w:pPr>
              <w:pStyle w:val="21"/>
            </w:pPr>
            <w:r>
              <w:t>71.61</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9.80</w:t>
            </w:r>
          </w:p>
        </w:tc>
        <w:tc>
          <w:tcPr>
            <w:tcW w:w="1361" w:type="dxa"/>
            <w:vAlign w:val="center"/>
          </w:tcPr>
          <w:p>
            <w:pPr>
              <w:pStyle w:val="21"/>
            </w:pPr>
            <w:r>
              <w:t>1.00</w:t>
            </w:r>
          </w:p>
        </w:tc>
        <w:tc>
          <w:tcPr>
            <w:tcW w:w="1361" w:type="dxa"/>
            <w:vAlign w:val="center"/>
          </w:tcPr>
          <w:p>
            <w:pPr>
              <w:pStyle w:val="21"/>
            </w:pPr>
            <w:r>
              <w:t>8.80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753.36</w:t>
            </w:r>
          </w:p>
        </w:tc>
        <w:tc>
          <w:tcPr>
            <w:tcW w:w="1361" w:type="dxa"/>
            <w:vAlign w:val="center"/>
          </w:tcPr>
          <w:p>
            <w:pPr>
              <w:pStyle w:val="21"/>
            </w:pPr>
            <w:r>
              <w:t>690.55</w:t>
            </w:r>
          </w:p>
        </w:tc>
        <w:tc>
          <w:tcPr>
            <w:tcW w:w="1361" w:type="dxa"/>
            <w:vAlign w:val="center"/>
          </w:tcPr>
          <w:p>
            <w:pPr>
              <w:pStyle w:val="21"/>
            </w:pPr>
            <w:r>
              <w:t>62.81</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501607霸州市东段乡第二小学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763.16</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763.16</w:t>
            </w:r>
          </w:p>
        </w:tc>
        <w:tc>
          <w:tcPr>
            <w:tcW w:w="1474" w:type="dxa"/>
            <w:vAlign w:val="center"/>
          </w:tcPr>
          <w:p>
            <w:pPr>
              <w:pStyle w:val="21"/>
            </w:pPr>
            <w:r>
              <w:t>763.16</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763.16</w:t>
            </w:r>
          </w:p>
        </w:tc>
        <w:tc>
          <w:tcPr>
            <w:tcW w:w="3402" w:type="dxa"/>
            <w:vAlign w:val="center"/>
          </w:tcPr>
          <w:p>
            <w:pPr>
              <w:pStyle w:val="24"/>
            </w:pPr>
            <w:r>
              <w:t>本年支出合计</w:t>
            </w:r>
          </w:p>
        </w:tc>
        <w:tc>
          <w:tcPr>
            <w:tcW w:w="1474" w:type="dxa"/>
            <w:vAlign w:val="center"/>
          </w:tcPr>
          <w:p>
            <w:pPr>
              <w:pStyle w:val="25"/>
            </w:pPr>
            <w:r>
              <w:t>763.16</w:t>
            </w:r>
          </w:p>
        </w:tc>
        <w:tc>
          <w:tcPr>
            <w:tcW w:w="1474" w:type="dxa"/>
            <w:vAlign w:val="center"/>
          </w:tcPr>
          <w:p>
            <w:pPr>
              <w:pStyle w:val="25"/>
            </w:pPr>
            <w:r>
              <w:t>763.16</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763.16</w:t>
            </w:r>
          </w:p>
        </w:tc>
        <w:tc>
          <w:tcPr>
            <w:tcW w:w="3402" w:type="dxa"/>
            <w:vAlign w:val="center"/>
          </w:tcPr>
          <w:p>
            <w:pPr>
              <w:pStyle w:val="24"/>
            </w:pPr>
            <w:r>
              <w:t>支出总计</w:t>
            </w:r>
          </w:p>
        </w:tc>
        <w:tc>
          <w:tcPr>
            <w:tcW w:w="1474" w:type="dxa"/>
            <w:vAlign w:val="center"/>
          </w:tcPr>
          <w:p>
            <w:pPr>
              <w:pStyle w:val="25"/>
            </w:pPr>
            <w:r>
              <w:t>763.16</w:t>
            </w:r>
          </w:p>
        </w:tc>
        <w:tc>
          <w:tcPr>
            <w:tcW w:w="1474" w:type="dxa"/>
            <w:vAlign w:val="center"/>
          </w:tcPr>
          <w:p>
            <w:pPr>
              <w:pStyle w:val="25"/>
            </w:pPr>
            <w:r>
              <w:t>763.16</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501607霸州市东段乡第二小学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763.16</w:t>
            </w:r>
          </w:p>
        </w:tc>
        <w:tc>
          <w:tcPr>
            <w:tcW w:w="2551" w:type="dxa"/>
            <w:vAlign w:val="center"/>
          </w:tcPr>
          <w:p>
            <w:pPr>
              <w:pStyle w:val="25"/>
            </w:pPr>
            <w:r>
              <w:t>691.55</w:t>
            </w:r>
          </w:p>
        </w:tc>
        <w:tc>
          <w:tcPr>
            <w:tcW w:w="2551" w:type="dxa"/>
            <w:vAlign w:val="center"/>
          </w:tcPr>
          <w:p>
            <w:pPr>
              <w:pStyle w:val="25"/>
            </w:pPr>
            <w:r>
              <w:t>71.61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763.16</w:t>
            </w:r>
          </w:p>
        </w:tc>
        <w:tc>
          <w:tcPr>
            <w:tcW w:w="2551" w:type="dxa"/>
            <w:vAlign w:val="center"/>
          </w:tcPr>
          <w:p>
            <w:pPr>
              <w:pStyle w:val="21"/>
            </w:pPr>
            <w:r>
              <w:t>691.55</w:t>
            </w:r>
          </w:p>
        </w:tc>
        <w:tc>
          <w:tcPr>
            <w:tcW w:w="2551" w:type="dxa"/>
            <w:vAlign w:val="center"/>
          </w:tcPr>
          <w:p>
            <w:pPr>
              <w:pStyle w:val="21"/>
            </w:pPr>
            <w:r>
              <w:t>71.61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763.16</w:t>
            </w:r>
          </w:p>
        </w:tc>
        <w:tc>
          <w:tcPr>
            <w:tcW w:w="2551" w:type="dxa"/>
            <w:vAlign w:val="center"/>
          </w:tcPr>
          <w:p>
            <w:pPr>
              <w:pStyle w:val="21"/>
            </w:pPr>
            <w:r>
              <w:t>691.55</w:t>
            </w:r>
          </w:p>
        </w:tc>
        <w:tc>
          <w:tcPr>
            <w:tcW w:w="2551" w:type="dxa"/>
            <w:vAlign w:val="center"/>
          </w:tcPr>
          <w:p>
            <w:pPr>
              <w:pStyle w:val="21"/>
            </w:pPr>
            <w:r>
              <w:t>71.61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9.80</w:t>
            </w:r>
          </w:p>
        </w:tc>
        <w:tc>
          <w:tcPr>
            <w:tcW w:w="2551" w:type="dxa"/>
            <w:vAlign w:val="center"/>
          </w:tcPr>
          <w:p>
            <w:pPr>
              <w:pStyle w:val="21"/>
            </w:pPr>
            <w:r>
              <w:t>1.00</w:t>
            </w:r>
          </w:p>
        </w:tc>
        <w:tc>
          <w:tcPr>
            <w:tcW w:w="2551" w:type="dxa"/>
            <w:vAlign w:val="center"/>
          </w:tcPr>
          <w:p>
            <w:pPr>
              <w:pStyle w:val="21"/>
            </w:pPr>
            <w:r>
              <w:t>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753.36</w:t>
            </w:r>
          </w:p>
        </w:tc>
        <w:tc>
          <w:tcPr>
            <w:tcW w:w="2551" w:type="dxa"/>
            <w:vAlign w:val="center"/>
          </w:tcPr>
          <w:p>
            <w:pPr>
              <w:pStyle w:val="21"/>
            </w:pPr>
            <w:r>
              <w:t>690.55</w:t>
            </w:r>
          </w:p>
        </w:tc>
        <w:tc>
          <w:tcPr>
            <w:tcW w:w="2551" w:type="dxa"/>
            <w:vAlign w:val="center"/>
          </w:tcPr>
          <w:p>
            <w:pPr>
              <w:pStyle w:val="21"/>
            </w:pPr>
            <w:r>
              <w:t>62.81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501607霸州市东段乡第二小学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691.55</w:t>
            </w:r>
          </w:p>
        </w:tc>
        <w:tc>
          <w:tcPr>
            <w:tcW w:w="2551" w:type="dxa"/>
            <w:vAlign w:val="center"/>
          </w:tcPr>
          <w:p>
            <w:pPr>
              <w:pStyle w:val="25"/>
            </w:pPr>
            <w:r>
              <w:t>681.09</w:t>
            </w:r>
          </w:p>
        </w:tc>
        <w:tc>
          <w:tcPr>
            <w:tcW w:w="2551" w:type="dxa"/>
            <w:vAlign w:val="center"/>
          </w:tcPr>
          <w:p>
            <w:pPr>
              <w:pStyle w:val="25"/>
            </w:pPr>
            <w:r>
              <w:t>10.46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599.53</w:t>
            </w:r>
          </w:p>
        </w:tc>
        <w:tc>
          <w:tcPr>
            <w:tcW w:w="2551" w:type="dxa"/>
            <w:vAlign w:val="center"/>
          </w:tcPr>
          <w:p>
            <w:pPr>
              <w:pStyle w:val="21"/>
            </w:pPr>
            <w:r>
              <w:t>599.53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143.34</w:t>
            </w:r>
          </w:p>
        </w:tc>
        <w:tc>
          <w:tcPr>
            <w:tcW w:w="2551" w:type="dxa"/>
            <w:vAlign w:val="center"/>
          </w:tcPr>
          <w:p>
            <w:pPr>
              <w:pStyle w:val="21"/>
            </w:pPr>
            <w:r>
              <w:t>143.34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36.08</w:t>
            </w:r>
          </w:p>
        </w:tc>
        <w:tc>
          <w:tcPr>
            <w:tcW w:w="2551" w:type="dxa"/>
            <w:vAlign w:val="center"/>
          </w:tcPr>
          <w:p>
            <w:pPr>
              <w:pStyle w:val="21"/>
            </w:pPr>
            <w:r>
              <w:t>36.08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215.21</w:t>
            </w:r>
          </w:p>
        </w:tc>
        <w:tc>
          <w:tcPr>
            <w:tcW w:w="2551" w:type="dxa"/>
            <w:vAlign w:val="center"/>
          </w:tcPr>
          <w:p>
            <w:pPr>
              <w:pStyle w:val="21"/>
            </w:pPr>
            <w:r>
              <w:t>215.21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48.23</w:t>
            </w:r>
          </w:p>
        </w:tc>
        <w:tc>
          <w:tcPr>
            <w:tcW w:w="2551" w:type="dxa"/>
            <w:vAlign w:val="center"/>
          </w:tcPr>
          <w:p>
            <w:pPr>
              <w:pStyle w:val="21"/>
            </w:pPr>
            <w:r>
              <w:t>48.23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13.56</w:t>
            </w:r>
          </w:p>
        </w:tc>
        <w:tc>
          <w:tcPr>
            <w:tcW w:w="2551" w:type="dxa"/>
            <w:vAlign w:val="center"/>
          </w:tcPr>
          <w:p>
            <w:pPr>
              <w:pStyle w:val="21"/>
            </w:pPr>
            <w:r>
              <w:t>13.56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14.35</w:t>
            </w:r>
          </w:p>
        </w:tc>
        <w:tc>
          <w:tcPr>
            <w:tcW w:w="2551" w:type="dxa"/>
            <w:vAlign w:val="center"/>
          </w:tcPr>
          <w:p>
            <w:pPr>
              <w:pStyle w:val="21"/>
            </w:pPr>
            <w:r>
              <w:t>14.35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3.42</w:t>
            </w:r>
          </w:p>
        </w:tc>
        <w:tc>
          <w:tcPr>
            <w:tcW w:w="2551" w:type="dxa"/>
            <w:vAlign w:val="center"/>
          </w:tcPr>
          <w:p>
            <w:pPr>
              <w:pStyle w:val="21"/>
            </w:pPr>
            <w:r>
              <w:t>3.42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39.52</w:t>
            </w:r>
          </w:p>
        </w:tc>
        <w:tc>
          <w:tcPr>
            <w:tcW w:w="2551" w:type="dxa"/>
            <w:vAlign w:val="center"/>
          </w:tcPr>
          <w:p>
            <w:pPr>
              <w:pStyle w:val="21"/>
            </w:pPr>
            <w:r>
              <w:t>39.52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85.82</w:t>
            </w:r>
          </w:p>
        </w:tc>
        <w:tc>
          <w:tcPr>
            <w:tcW w:w="2551" w:type="dxa"/>
            <w:vAlign w:val="center"/>
          </w:tcPr>
          <w:p>
            <w:pPr>
              <w:pStyle w:val="21"/>
            </w:pPr>
            <w:r>
              <w:t>85.82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10.46</w:t>
            </w:r>
          </w:p>
        </w:tc>
        <w:tc>
          <w:tcPr>
            <w:tcW w:w="2551" w:type="dxa"/>
            <w:vAlign w:val="center"/>
          </w:tcPr>
          <w:p>
            <w:pPr>
              <w:pStyle w:val="21"/>
            </w:pPr>
          </w:p>
        </w:tc>
        <w:tc>
          <w:tcPr>
            <w:tcW w:w="2551" w:type="dxa"/>
            <w:vAlign w:val="center"/>
          </w:tcPr>
          <w:p>
            <w:pPr>
              <w:pStyle w:val="21"/>
            </w:pPr>
            <w:r>
              <w:t>10.46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1.00</w:t>
            </w:r>
          </w:p>
        </w:tc>
        <w:tc>
          <w:tcPr>
            <w:tcW w:w="2551" w:type="dxa"/>
            <w:vAlign w:val="center"/>
          </w:tcPr>
          <w:p>
            <w:pPr>
              <w:pStyle w:val="21"/>
            </w:pPr>
          </w:p>
        </w:tc>
        <w:tc>
          <w:tcPr>
            <w:tcW w:w="2551" w:type="dxa"/>
            <w:vAlign w:val="center"/>
          </w:tcPr>
          <w:p>
            <w:pPr>
              <w:pStyle w:val="2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5.60</w:t>
            </w:r>
          </w:p>
        </w:tc>
        <w:tc>
          <w:tcPr>
            <w:tcW w:w="2551" w:type="dxa"/>
            <w:vAlign w:val="center"/>
          </w:tcPr>
          <w:p>
            <w:pPr>
              <w:pStyle w:val="21"/>
            </w:pPr>
          </w:p>
        </w:tc>
        <w:tc>
          <w:tcPr>
            <w:tcW w:w="2551" w:type="dxa"/>
            <w:vAlign w:val="center"/>
          </w:tcPr>
          <w:p>
            <w:pPr>
              <w:pStyle w:val="21"/>
            </w:pPr>
            <w:r>
              <w:t>5.60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3.86</w:t>
            </w:r>
          </w:p>
        </w:tc>
        <w:tc>
          <w:tcPr>
            <w:tcW w:w="2551" w:type="dxa"/>
            <w:vAlign w:val="center"/>
          </w:tcPr>
          <w:p>
            <w:pPr>
              <w:pStyle w:val="21"/>
            </w:pPr>
          </w:p>
        </w:tc>
        <w:tc>
          <w:tcPr>
            <w:tcW w:w="2551" w:type="dxa"/>
            <w:vAlign w:val="center"/>
          </w:tcPr>
          <w:p>
            <w:pPr>
              <w:pStyle w:val="21"/>
            </w:pPr>
            <w:r>
              <w:t>3.86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81.56</w:t>
            </w:r>
          </w:p>
        </w:tc>
        <w:tc>
          <w:tcPr>
            <w:tcW w:w="2551" w:type="dxa"/>
            <w:vAlign w:val="center"/>
          </w:tcPr>
          <w:p>
            <w:pPr>
              <w:pStyle w:val="21"/>
            </w:pPr>
            <w:r>
              <w:t>81.56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53.41</w:t>
            </w:r>
          </w:p>
        </w:tc>
        <w:tc>
          <w:tcPr>
            <w:tcW w:w="2551" w:type="dxa"/>
            <w:vAlign w:val="center"/>
          </w:tcPr>
          <w:p>
            <w:pPr>
              <w:pStyle w:val="21"/>
            </w:pPr>
            <w:r>
              <w:t>53.41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28.11</w:t>
            </w:r>
          </w:p>
        </w:tc>
        <w:tc>
          <w:tcPr>
            <w:tcW w:w="2551" w:type="dxa"/>
            <w:vAlign w:val="center"/>
          </w:tcPr>
          <w:p>
            <w:pPr>
              <w:pStyle w:val="21"/>
            </w:pPr>
            <w:r>
              <w:t>28.11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0.04</w:t>
            </w:r>
          </w:p>
        </w:tc>
        <w:tc>
          <w:tcPr>
            <w:tcW w:w="2551" w:type="dxa"/>
            <w:vAlign w:val="center"/>
          </w:tcPr>
          <w:p>
            <w:pPr>
              <w:pStyle w:val="21"/>
            </w:pPr>
            <w:r>
              <w:t>0.04</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501607霸州市东段乡第二小学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501607霸州市东段乡第二小学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501607霸州市东段乡第二小学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4"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1"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p>
        </w:tc>
        <w:tc>
          <w:tcPr>
            <w:tcW w:w="3798" w:type="dxa"/>
            <w:vAlign w:val="center"/>
          </w:tcPr>
          <w:p>
            <w:pPr>
              <w:pStyle w:val="22"/>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霸州市东段乡第二小学2023年单位预算信息公开情况说明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按照《预算法》、《地方预决算公开操作规程》和《关于进一步推进预算公开工作的实施意见》规定，现将霸州市东段乡第二小学2023年单位预算公开如下：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5"/>
      </w:pPr>
      <w:r>
        <w:rPr>
          <w:rFonts w:hint="eastAsia"/>
          <w:lang w:eastAsia="zh-CN"/>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霸州市东段乡第二小学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ascii="方正仿宋_GBK"/>
        </w:rPr>
        <w:t>763.16</w:t>
      </w:r>
      <w:r>
        <w:rPr>
          <w:rFonts w:hint="eastAsia" w:ascii="方正仿宋_GBK"/>
          <w:i/>
        </w:rPr>
        <w:t>万元，其中：一般公共预算收入</w:t>
      </w:r>
      <w:r>
        <w:rPr>
          <w:rFonts w:ascii="方正仿宋_GBK"/>
          <w:i/>
        </w:rPr>
        <w:t>763.16</w:t>
      </w:r>
      <w:r>
        <w:rPr>
          <w:rFonts w:hint="eastAsia" w:ascii="方正仿宋_GBK"/>
          <w:i/>
        </w:rPr>
        <w:t>万元，基金预算收入</w:t>
      </w:r>
      <w:r>
        <w:rPr>
          <w:rFonts w:ascii="方正仿宋_GBK"/>
          <w:i/>
        </w:rPr>
        <w:t>0</w:t>
      </w:r>
      <w:r>
        <w:rPr>
          <w:rFonts w:hint="eastAsia" w:ascii="方正仿宋_GBK"/>
          <w:i/>
        </w:rPr>
        <w:t>万元，财政专户核拨收入</w:t>
      </w:r>
      <w:r>
        <w:rPr>
          <w:rFonts w:ascii="方正仿宋_GBK"/>
          <w:i/>
        </w:rPr>
        <w:t>0</w:t>
      </w:r>
      <w:r>
        <w:rPr>
          <w:rFonts w:hint="eastAsia" w:ascii="方正仿宋_GBK"/>
          <w:i/>
        </w:rPr>
        <w:t>万元，其他来源收入</w:t>
      </w:r>
      <w:r>
        <w:rPr>
          <w:rFonts w:ascii="方正仿宋_GBK"/>
          <w:i/>
        </w:rPr>
        <w:t>0</w:t>
      </w:r>
      <w:r>
        <w:rPr>
          <w:rFonts w:hint="eastAsia" w:ascii="方正仿宋_GBK"/>
          <w:i/>
        </w:rPr>
        <w:t>万元</w:t>
      </w:r>
      <w:r>
        <w:rPr>
          <w:rFonts w:hint="eastAsia" w:ascii="方正仿宋_GBK"/>
        </w:rPr>
        <w:t>，上年结转</w:t>
      </w:r>
      <w:r>
        <w:rPr>
          <w:rFonts w:ascii="方正仿宋_GBK"/>
        </w:rPr>
        <w:t>0</w:t>
      </w:r>
      <w:r>
        <w:rPr>
          <w:rFonts w:hint="eastAsia" w:ascii="方正仿宋_GBK"/>
        </w:rPr>
        <w:t>万元（有则写，无则填0万元）。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收支预算总表支出栏、基本支出表、项目支出表按经济分类和支出功能分类科目编制，反映霸州市东段乡第二小学单位2023年度单位预算中支出预算的总体情况。2023年支出预算</w:t>
      </w:r>
      <w:r>
        <w:rPr>
          <w:rFonts w:ascii="方正仿宋_GBK"/>
        </w:rPr>
        <w:t>763.16</w:t>
      </w:r>
      <w:r>
        <w:rPr>
          <w:rFonts w:hint="eastAsia" w:ascii="方正仿宋_GBK"/>
        </w:rPr>
        <w:t>万元，其中：基本支出</w:t>
      </w:r>
      <w:r>
        <w:rPr>
          <w:rFonts w:ascii="方正仿宋_GBK"/>
        </w:rPr>
        <w:t>691.55</w:t>
      </w:r>
      <w:r>
        <w:rPr>
          <w:rFonts w:hint="eastAsia" w:ascii="方正仿宋_GBK"/>
        </w:rPr>
        <w:t>万元，包括人员经费</w:t>
      </w:r>
      <w:r>
        <w:rPr>
          <w:rFonts w:ascii="方正仿宋_GBK"/>
        </w:rPr>
        <w:t>681.09</w:t>
      </w:r>
      <w:r>
        <w:rPr>
          <w:rFonts w:hint="eastAsia" w:ascii="方正仿宋_GBK"/>
        </w:rPr>
        <w:t>万元和日常公用经费</w:t>
      </w:r>
      <w:r>
        <w:rPr>
          <w:rFonts w:ascii="方正仿宋_GBK"/>
        </w:rPr>
        <w:t>10.46</w:t>
      </w:r>
      <w:r>
        <w:rPr>
          <w:rFonts w:hint="eastAsia" w:ascii="方正仿宋_GBK"/>
        </w:rPr>
        <w:t>万元；项目支出</w:t>
      </w:r>
      <w:r>
        <w:rPr>
          <w:rFonts w:ascii="方正仿宋_GBK"/>
        </w:rPr>
        <w:t>71.61</w:t>
      </w:r>
      <w:r>
        <w:rPr>
          <w:rFonts w:hint="eastAsia" w:ascii="方正仿宋_GBK"/>
        </w:rPr>
        <w:t>万元，主要为：</w:t>
      </w:r>
      <w:r>
        <w:rPr>
          <w:rFonts w:ascii="方正仿宋_GBK"/>
        </w:rPr>
        <w:t>城乡义务教育补助生均公用经费本级配套资金</w:t>
      </w:r>
      <w:r>
        <w:rPr>
          <w:rFonts w:hint="eastAsia" w:ascii="方正仿宋_GBK"/>
        </w:rPr>
        <w:t>2</w:t>
      </w:r>
      <w:r>
        <w:rPr>
          <w:rFonts w:ascii="方正仿宋_GBK"/>
        </w:rPr>
        <w:t>.31</w:t>
      </w:r>
      <w:r>
        <w:rPr>
          <w:rFonts w:hint="eastAsia" w:ascii="方正仿宋_GBK"/>
        </w:rPr>
        <w:t>万元、</w:t>
      </w:r>
      <w:r>
        <w:rPr>
          <w:rFonts w:ascii="方正仿宋_GBK"/>
        </w:rPr>
        <w:t>返聘教师经费</w:t>
      </w:r>
      <w:r>
        <w:rPr>
          <w:rFonts w:hint="eastAsia" w:ascii="方正仿宋_GBK"/>
        </w:rPr>
        <w:t>3</w:t>
      </w:r>
      <w:r>
        <w:rPr>
          <w:rFonts w:ascii="方正仿宋_GBK"/>
        </w:rPr>
        <w:t>.63</w:t>
      </w:r>
      <w:r>
        <w:rPr>
          <w:rFonts w:hint="eastAsia" w:ascii="方正仿宋_GBK"/>
        </w:rPr>
        <w:t>万元、</w:t>
      </w:r>
      <w:r>
        <w:rPr>
          <w:rFonts w:ascii="方正仿宋_GBK"/>
        </w:rPr>
        <w:t>关于提前下达2023年城乡义务教育省级补助资金</w:t>
      </w:r>
      <w:r>
        <w:rPr>
          <w:rFonts w:hint="eastAsia" w:ascii="方正仿宋_GBK"/>
        </w:rPr>
        <w:t>1</w:t>
      </w:r>
      <w:r>
        <w:rPr>
          <w:rFonts w:ascii="方正仿宋_GBK"/>
        </w:rPr>
        <w:t>7.87</w:t>
      </w:r>
      <w:r>
        <w:rPr>
          <w:rFonts w:hint="eastAsia" w:ascii="方正仿宋_GBK"/>
        </w:rPr>
        <w:t>万元、</w:t>
      </w:r>
      <w:r>
        <w:rPr>
          <w:rFonts w:ascii="方正仿宋_GBK"/>
        </w:rPr>
        <w:t>关于提前下达2023年城乡义务教育中央补助经费</w:t>
      </w:r>
      <w:r>
        <w:rPr>
          <w:rFonts w:hint="eastAsia" w:ascii="方正仿宋_GBK"/>
        </w:rPr>
        <w:t>3</w:t>
      </w:r>
      <w:r>
        <w:rPr>
          <w:rFonts w:ascii="方正仿宋_GBK"/>
        </w:rPr>
        <w:t>9</w:t>
      </w:r>
      <w:r>
        <w:rPr>
          <w:rFonts w:hint="eastAsia" w:ascii="方正仿宋_GBK"/>
        </w:rPr>
        <w:t>万元、</w:t>
      </w:r>
      <w:r>
        <w:rPr>
          <w:rFonts w:ascii="方正仿宋_GBK"/>
        </w:rPr>
        <w:t>幼儿保教经费</w:t>
      </w:r>
      <w:r>
        <w:rPr>
          <w:rFonts w:hint="eastAsia" w:ascii="方正仿宋_GBK"/>
        </w:rPr>
        <w:t>8</w:t>
      </w:r>
      <w:r>
        <w:rPr>
          <w:rFonts w:ascii="方正仿宋_GBK"/>
        </w:rPr>
        <w:t>.8</w:t>
      </w:r>
      <w:r>
        <w:rPr>
          <w:rFonts w:hint="eastAsia" w:ascii="方正仿宋_GBK"/>
        </w:rPr>
        <w:t>万元。</w:t>
      </w:r>
    </w:p>
    <w:p>
      <w:pPr>
        <w:pStyle w:val="36"/>
        <w:jc w:val="both"/>
        <w:rPr>
          <w:rFonts w:ascii="方正仿宋_GBK"/>
        </w:rPr>
      </w:pPr>
      <w:r>
        <w:rPr>
          <w:rFonts w:hint="eastAsia" w:ascii="方正仿宋_GBK"/>
        </w:rPr>
        <w:t>3、比上年增减情况</w:t>
      </w:r>
    </w:p>
    <w:p>
      <w:pPr>
        <w:pStyle w:val="36"/>
        <w:jc w:val="both"/>
        <w:rPr>
          <w:rFonts w:ascii="方正仿宋_GBK"/>
        </w:rPr>
      </w:pPr>
      <w:r>
        <w:rPr>
          <w:rFonts w:hint="eastAsia" w:ascii="方正仿宋_GBK"/>
        </w:rPr>
        <w:t>2023年预算收支安排</w:t>
      </w:r>
      <w:r>
        <w:rPr>
          <w:rFonts w:ascii="方正仿宋_GBK"/>
        </w:rPr>
        <w:t>763.16</w:t>
      </w:r>
      <w:r>
        <w:rPr>
          <w:rFonts w:hint="eastAsia" w:ascii="方正仿宋_GBK"/>
        </w:rPr>
        <w:t>万元，较2022年预算增加</w:t>
      </w:r>
      <w:r>
        <w:rPr>
          <w:rFonts w:ascii="方正仿宋_GBK"/>
        </w:rPr>
        <w:t>50.01</w:t>
      </w:r>
      <w:r>
        <w:rPr>
          <w:rFonts w:hint="eastAsia" w:ascii="方正仿宋_GBK"/>
        </w:rPr>
        <w:t>万元，其中：基本支出增加</w:t>
      </w:r>
      <w:r>
        <w:rPr>
          <w:rFonts w:ascii="方正仿宋_GBK"/>
        </w:rPr>
        <w:t>42.64</w:t>
      </w:r>
      <w:r>
        <w:rPr>
          <w:rFonts w:hint="eastAsia" w:ascii="方正仿宋_GBK"/>
        </w:rPr>
        <w:t>万元，主要增加了人员经费支出；项目支出减少1</w:t>
      </w:r>
      <w:r>
        <w:rPr>
          <w:rFonts w:ascii="方正仿宋_GBK"/>
        </w:rPr>
        <w:t>.43</w:t>
      </w:r>
      <w:r>
        <w:rPr>
          <w:rFonts w:hint="eastAsia" w:ascii="方正仿宋_GBK"/>
        </w:rPr>
        <w:t>万元，主要为</w:t>
      </w:r>
      <w:r>
        <w:rPr>
          <w:rFonts w:ascii="方正仿宋_GBK"/>
        </w:rPr>
        <w:t>城乡义务教育补助生均公用经费本级配套资金</w:t>
      </w:r>
      <w:r>
        <w:rPr>
          <w:rFonts w:hint="eastAsia" w:ascii="方正仿宋_GBK"/>
        </w:rPr>
        <w:t>增加0</w:t>
      </w:r>
      <w:r>
        <w:rPr>
          <w:rFonts w:ascii="方正仿宋_GBK"/>
        </w:rPr>
        <w:t>.7</w:t>
      </w:r>
      <w:r>
        <w:rPr>
          <w:rFonts w:hint="eastAsia" w:ascii="方正仿宋_GBK"/>
        </w:rPr>
        <w:t>万，</w:t>
      </w:r>
      <w:r>
        <w:rPr>
          <w:rFonts w:ascii="方正仿宋_GBK"/>
        </w:rPr>
        <w:t>返聘教师经费</w:t>
      </w:r>
      <w:r>
        <w:rPr>
          <w:rFonts w:hint="eastAsia" w:ascii="方正仿宋_GBK"/>
        </w:rPr>
        <w:t>增加3</w:t>
      </w:r>
      <w:r>
        <w:rPr>
          <w:rFonts w:ascii="方正仿宋_GBK"/>
        </w:rPr>
        <w:t>.63</w:t>
      </w:r>
      <w:r>
        <w:rPr>
          <w:rFonts w:hint="eastAsia" w:ascii="方正仿宋_GBK"/>
        </w:rPr>
        <w:t>万元，</w:t>
      </w:r>
      <w:r>
        <w:rPr>
          <w:rFonts w:ascii="方正仿宋_GBK"/>
        </w:rPr>
        <w:t>关于提前下达2023年城乡义务教育省级补助资金</w:t>
      </w:r>
      <w:r>
        <w:rPr>
          <w:rFonts w:hint="eastAsia" w:ascii="方正仿宋_GBK"/>
        </w:rPr>
        <w:t>减少2</w:t>
      </w:r>
      <w:r>
        <w:rPr>
          <w:rFonts w:ascii="方正仿宋_GBK"/>
        </w:rPr>
        <w:t>.76</w:t>
      </w:r>
      <w:r>
        <w:rPr>
          <w:rFonts w:hint="eastAsia" w:ascii="方正仿宋_GBK"/>
        </w:rPr>
        <w:t>万元，</w:t>
      </w:r>
      <w:r>
        <w:rPr>
          <w:rFonts w:ascii="方正仿宋_GBK"/>
        </w:rPr>
        <w:t>关于提前下达2023年城乡义务教育中央补助经费</w:t>
      </w:r>
      <w:r>
        <w:rPr>
          <w:rFonts w:hint="eastAsia" w:ascii="方正仿宋_GBK"/>
        </w:rPr>
        <w:t>减少3万元，</w:t>
      </w:r>
      <w:r>
        <w:rPr>
          <w:rFonts w:ascii="方正仿宋_GBK"/>
        </w:rPr>
        <w:t>幼儿保教经费</w:t>
      </w:r>
      <w:r>
        <w:rPr>
          <w:rFonts w:hint="eastAsia" w:ascii="方正仿宋_GBK"/>
        </w:rPr>
        <w:t>与2</w:t>
      </w:r>
      <w:r>
        <w:rPr>
          <w:rFonts w:ascii="方正仿宋_GBK"/>
        </w:rPr>
        <w:t>022</w:t>
      </w:r>
      <w:r>
        <w:rPr>
          <w:rFonts w:hint="eastAsia" w:ascii="方正仿宋_GBK"/>
        </w:rPr>
        <w:t>年对比无增减。</w:t>
      </w:r>
    </w:p>
    <w:p>
      <w:pPr>
        <w:spacing w:before="10" w:after="10"/>
        <w:ind w:firstLine="640"/>
        <w:outlineLvl w:val="5"/>
        <w:rPr>
          <w:lang w:val="uk-UA"/>
        </w:rPr>
      </w:pPr>
      <w:r>
        <w:rPr>
          <w:rFonts w:ascii="黑体" w:hAnsi="黑体" w:eastAsia="黑体" w:cs="黑体"/>
          <w:color w:val="000000"/>
          <w:sz w:val="32"/>
        </w:rPr>
        <w:t>三、单位运行经费安排情况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单位运行经费共计安排</w:t>
      </w:r>
      <w:r>
        <w:t>10.46</w:t>
      </w:r>
      <w:r>
        <w:rPr>
          <w:rFonts w:hint="eastAsia" w:ascii="方正仿宋_GBK"/>
        </w:rPr>
        <w:t>万元，主要用于</w:t>
      </w:r>
      <w:r>
        <w:rPr>
          <w:rFonts w:hint="eastAsia" w:ascii="方正仿宋_GBK"/>
          <w:lang w:eastAsia="zh-CN"/>
        </w:rPr>
        <w:t>办公经费1万元，工会经费5</w:t>
      </w:r>
      <w:r>
        <w:rPr>
          <w:rFonts w:ascii="方正仿宋_GBK"/>
          <w:lang w:eastAsia="zh-CN"/>
        </w:rPr>
        <w:t>.6</w:t>
      </w:r>
      <w:r>
        <w:rPr>
          <w:rFonts w:hint="eastAsia" w:ascii="方正仿宋_GBK"/>
          <w:lang w:eastAsia="zh-CN"/>
        </w:rPr>
        <w:t>万元，福利费3</w:t>
      </w:r>
      <w:r>
        <w:rPr>
          <w:rFonts w:ascii="方正仿宋_GBK"/>
          <w:lang w:eastAsia="zh-CN"/>
        </w:rPr>
        <w:t>.86</w:t>
      </w:r>
      <w:r>
        <w:rPr>
          <w:rFonts w:hint="eastAsia" w:ascii="方正仿宋_GBK"/>
          <w:lang w:eastAsia="zh-CN"/>
        </w:rPr>
        <w:t>万元</w:t>
      </w:r>
      <w:r>
        <w:rPr>
          <w:rFonts w:hint="eastAsia" w:ascii="方正仿宋_GBK"/>
        </w:rPr>
        <w:t>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ascii="方正仿宋_GBK"/>
        </w:rPr>
        <w:t>0</w:t>
      </w:r>
      <w:r>
        <w:rPr>
          <w:rFonts w:hint="eastAsia" w:ascii="方正仿宋_GBK"/>
        </w:rPr>
        <w:t>万元。其中，因公出国（境）费</w:t>
      </w:r>
      <w:r>
        <w:rPr>
          <w:rFonts w:ascii="方正仿宋_GBK"/>
        </w:rPr>
        <w:t>0</w:t>
      </w:r>
      <w:r>
        <w:rPr>
          <w:rFonts w:hint="eastAsia" w:ascii="方正仿宋_GBK"/>
        </w:rPr>
        <w:t>万元；公务用车购置及运维费</w:t>
      </w:r>
      <w:r>
        <w:rPr>
          <w:rFonts w:ascii="方正仿宋_GBK"/>
        </w:rPr>
        <w:t>0</w:t>
      </w:r>
      <w:r>
        <w:rPr>
          <w:rFonts w:hint="eastAsia" w:ascii="方正仿宋_GBK"/>
        </w:rPr>
        <w:t>万元（其中：公务用车购置费为</w:t>
      </w:r>
      <w:r>
        <w:rPr>
          <w:rFonts w:ascii="方正仿宋_GBK"/>
        </w:rPr>
        <w:t>0</w:t>
      </w:r>
      <w:r>
        <w:rPr>
          <w:rFonts w:hint="eastAsia" w:ascii="方正仿宋_GBK"/>
        </w:rPr>
        <w:t>万元，公务用车运维费</w:t>
      </w:r>
      <w:r>
        <w:rPr>
          <w:rFonts w:ascii="方正仿宋_GBK"/>
        </w:rPr>
        <w:t>0</w:t>
      </w:r>
      <w:r>
        <w:rPr>
          <w:rFonts w:hint="eastAsia" w:ascii="方正仿宋_GBK"/>
        </w:rPr>
        <w:t>万元)；公务接待费</w:t>
      </w:r>
      <w:r>
        <w:rPr>
          <w:rFonts w:ascii="方正仿宋_GBK"/>
        </w:rPr>
        <w:t>0</w:t>
      </w:r>
      <w:r>
        <w:rPr>
          <w:rFonts w:hint="eastAsia" w:ascii="方正仿宋_GBK"/>
        </w:rPr>
        <w:t>万元。与2022年相比持平无增减变化。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r>
              <w:tab/>
            </w:r>
            <w:r>
              <w:tab/>
            </w:r>
            <w:r>
              <w:tab/>
            </w:r>
            <w:r>
              <w:tab/>
            </w:r>
            <w:r>
              <w:tab/>
            </w:r>
            <w:r>
              <w:tab/>
            </w:r>
          </w:p>
          <w:p>
            <w:pPr>
              <w:pStyle w:val="22"/>
            </w:pP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≥805人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w:t>
            </w:r>
            <w:r>
              <w:rPr>
                <w:rFonts w:hint="eastAsia"/>
                <w:lang w:eastAsia="zh-CN"/>
              </w:rPr>
              <w:t>小学</w:t>
            </w:r>
            <w:r>
              <w:t>）</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p>
            <w:pPr>
              <w:pStyle w:val="22"/>
            </w:pPr>
            <w:r>
              <w:t>2.返聘教师薪酬及人身意外保险得到有效保障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1 人</w:t>
            </w:r>
          </w:p>
        </w:tc>
        <w:tc>
          <w:tcPr>
            <w:tcW w:w="2268" w:type="dxa"/>
            <w:vAlign w:val="center"/>
          </w:tcPr>
          <w:p>
            <w:pPr>
              <w:pStyle w:val="2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教学完成率</w:t>
            </w:r>
          </w:p>
        </w:tc>
        <w:tc>
          <w:tcPr>
            <w:tcW w:w="2835" w:type="dxa"/>
            <w:vAlign w:val="center"/>
          </w:tcPr>
          <w:p>
            <w:pPr>
              <w:pStyle w:val="22"/>
            </w:pPr>
            <w:r>
              <w:t>教学完成率</w:t>
            </w:r>
          </w:p>
        </w:tc>
        <w:tc>
          <w:tcPr>
            <w:tcW w:w="2551" w:type="dxa"/>
            <w:vAlign w:val="center"/>
          </w:tcPr>
          <w:p>
            <w:pPr>
              <w:pStyle w:val="22"/>
            </w:pPr>
            <w:r>
              <w:t>100 %</w:t>
            </w:r>
          </w:p>
        </w:tc>
        <w:tc>
          <w:tcPr>
            <w:tcW w:w="2268" w:type="dxa"/>
            <w:vAlign w:val="center"/>
          </w:tcPr>
          <w:p>
            <w:pPr>
              <w:pStyle w:val="2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12 月</w:t>
            </w:r>
          </w:p>
        </w:tc>
        <w:tc>
          <w:tcPr>
            <w:tcW w:w="2268" w:type="dxa"/>
            <w:vAlign w:val="center"/>
          </w:tcPr>
          <w:p>
            <w:pPr>
              <w:pStyle w:val="2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3.63 万元</w:t>
            </w:r>
          </w:p>
        </w:tc>
        <w:tc>
          <w:tcPr>
            <w:tcW w:w="2268" w:type="dxa"/>
            <w:vAlign w:val="center"/>
          </w:tcPr>
          <w:p>
            <w:pPr>
              <w:pStyle w:val="2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是否有效保障完成教育教学活动</w:t>
            </w:r>
          </w:p>
        </w:tc>
        <w:tc>
          <w:tcPr>
            <w:tcW w:w="2835" w:type="dxa"/>
            <w:vAlign w:val="center"/>
          </w:tcPr>
          <w:p>
            <w:pPr>
              <w:pStyle w:val="22"/>
            </w:pPr>
            <w:r>
              <w:t>是否有效保障完成教育教学活动</w:t>
            </w:r>
          </w:p>
        </w:tc>
        <w:tc>
          <w:tcPr>
            <w:tcW w:w="2551" w:type="dxa"/>
            <w:vAlign w:val="center"/>
          </w:tcPr>
          <w:p>
            <w:pPr>
              <w:pStyle w:val="22"/>
            </w:pPr>
            <w:r>
              <w:t xml:space="preserve"> 有效保障</w:t>
            </w:r>
          </w:p>
        </w:tc>
        <w:tc>
          <w:tcPr>
            <w:tcW w:w="2268" w:type="dxa"/>
            <w:vAlign w:val="center"/>
          </w:tcPr>
          <w:p>
            <w:pPr>
              <w:pStyle w:val="2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是否有效环节学校师资力量紧张情况</w:t>
            </w:r>
          </w:p>
        </w:tc>
        <w:tc>
          <w:tcPr>
            <w:tcW w:w="2835" w:type="dxa"/>
            <w:vAlign w:val="center"/>
          </w:tcPr>
          <w:p>
            <w:pPr>
              <w:pStyle w:val="22"/>
            </w:pPr>
            <w:r>
              <w:t>是否有效环节学校师资力量紧张情况</w:t>
            </w:r>
          </w:p>
        </w:tc>
        <w:tc>
          <w:tcPr>
            <w:tcW w:w="2551" w:type="dxa"/>
            <w:vAlign w:val="center"/>
          </w:tcPr>
          <w:p>
            <w:pPr>
              <w:pStyle w:val="22"/>
            </w:pPr>
            <w:r>
              <w:t>有效环节</w:t>
            </w:r>
          </w:p>
        </w:tc>
        <w:tc>
          <w:tcPr>
            <w:tcW w:w="2268" w:type="dxa"/>
            <w:vAlign w:val="center"/>
          </w:tcPr>
          <w:p>
            <w:pPr>
              <w:pStyle w:val="2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≥95 %</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≥805人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≥805人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p>
          <w:p>
            <w:pPr>
              <w:pStyle w:val="22"/>
            </w:pPr>
          </w:p>
          <w:p>
            <w:pPr>
              <w:pStyle w:val="22"/>
            </w:pPr>
            <w:r>
              <w:t>2.保障学前三年适龄幼儿顺利接受学前教育</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保教人员数量</w:t>
            </w:r>
          </w:p>
        </w:tc>
        <w:tc>
          <w:tcPr>
            <w:tcW w:w="2835" w:type="dxa"/>
            <w:vAlign w:val="center"/>
          </w:tcPr>
          <w:p>
            <w:pPr>
              <w:pStyle w:val="22"/>
            </w:pPr>
            <w:r>
              <w:t>保教人员数量</w:t>
            </w:r>
          </w:p>
        </w:tc>
        <w:tc>
          <w:tcPr>
            <w:tcW w:w="2551" w:type="dxa"/>
            <w:vAlign w:val="center"/>
          </w:tcPr>
          <w:p>
            <w:pPr>
              <w:pStyle w:val="22"/>
            </w:pPr>
            <w:r>
              <w:t>≥5 人</w:t>
            </w:r>
          </w:p>
        </w:tc>
        <w:tc>
          <w:tcPr>
            <w:tcW w:w="2268" w:type="dxa"/>
            <w:vAlign w:val="center"/>
          </w:tcPr>
          <w:p>
            <w:pPr>
              <w:pStyle w:val="2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≥110人</w:t>
            </w:r>
          </w:p>
        </w:tc>
        <w:tc>
          <w:tcPr>
            <w:tcW w:w="2268" w:type="dxa"/>
            <w:vAlign w:val="center"/>
          </w:tcPr>
          <w:p>
            <w:pPr>
              <w:pStyle w:val="2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适龄幼儿入园率</w:t>
            </w:r>
          </w:p>
        </w:tc>
        <w:tc>
          <w:tcPr>
            <w:tcW w:w="2835" w:type="dxa"/>
            <w:vAlign w:val="center"/>
          </w:tcPr>
          <w:p>
            <w:pPr>
              <w:pStyle w:val="22"/>
            </w:pPr>
            <w:r>
              <w:t>适龄幼儿入园率</w:t>
            </w:r>
          </w:p>
        </w:tc>
        <w:tc>
          <w:tcPr>
            <w:tcW w:w="2551" w:type="dxa"/>
            <w:vAlign w:val="center"/>
          </w:tcPr>
          <w:p>
            <w:pPr>
              <w:pStyle w:val="22"/>
            </w:pPr>
            <w:r>
              <w:t>≥80 %</w:t>
            </w:r>
          </w:p>
        </w:tc>
        <w:tc>
          <w:tcPr>
            <w:tcW w:w="2268" w:type="dxa"/>
            <w:vAlign w:val="center"/>
          </w:tcPr>
          <w:p>
            <w:pPr>
              <w:pStyle w:val="2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 xml:space="preserve"> 按月支付</w:t>
            </w:r>
          </w:p>
        </w:tc>
        <w:tc>
          <w:tcPr>
            <w:tcW w:w="2268" w:type="dxa"/>
            <w:vAlign w:val="center"/>
          </w:tcPr>
          <w:p>
            <w:pPr>
              <w:pStyle w:val="2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≤8.8 万元</w:t>
            </w:r>
          </w:p>
        </w:tc>
        <w:tc>
          <w:tcPr>
            <w:tcW w:w="2268" w:type="dxa"/>
            <w:vAlign w:val="center"/>
          </w:tcPr>
          <w:p>
            <w:pPr>
              <w:pStyle w:val="2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 xml:space="preserve"> 有效保障</w:t>
            </w:r>
          </w:p>
        </w:tc>
        <w:tc>
          <w:tcPr>
            <w:tcW w:w="2268" w:type="dxa"/>
            <w:vAlign w:val="center"/>
          </w:tcPr>
          <w:p>
            <w:pPr>
              <w:pStyle w:val="2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 xml:space="preserve"> 家长对幼儿园的满意度</w:t>
            </w:r>
          </w:p>
        </w:tc>
        <w:tc>
          <w:tcPr>
            <w:tcW w:w="2835" w:type="dxa"/>
            <w:vAlign w:val="center"/>
          </w:tcPr>
          <w:p>
            <w:pPr>
              <w:pStyle w:val="22"/>
            </w:pPr>
            <w:r>
              <w:t>调查中对幼儿园满意和较满意的家长人数占调查总人数的比率</w:t>
            </w:r>
          </w:p>
        </w:tc>
        <w:tc>
          <w:tcPr>
            <w:tcW w:w="2551" w:type="dxa"/>
            <w:vAlign w:val="center"/>
          </w:tcPr>
          <w:p>
            <w:pPr>
              <w:pStyle w:val="22"/>
            </w:pPr>
            <w:r>
              <w:t>≥95 %</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2023年，霸州市东段乡第二小学安排政府采购预算0.00万元。具体内容见下表。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501607霸州市东段乡第二小学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3"/>
            </w:pPr>
          </w:p>
        </w:tc>
        <w:tc>
          <w:tcPr>
            <w:tcW w:w="850" w:type="dxa"/>
            <w:vAlign w:val="center"/>
          </w:tcPr>
          <w:p>
            <w:pPr>
              <w:pStyle w:val="21"/>
            </w:pPr>
          </w:p>
        </w:tc>
        <w:tc>
          <w:tcPr>
            <w:tcW w:w="850"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霸州市东段乡第二小学上年末固定资产金额为161.08万元（详见下表）。本年度拟购置固定资产总额为0.00万元，已按要求列入政府采购预算，详见政府采购预算表。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pPr>
      <w:bookmarkStart w:id="0" w:name="_GoBack"/>
      <w:bookmarkEnd w:id="0"/>
      <w:r>
        <w:rPr>
          <w:rFonts w:ascii="方正小标宋_GBK" w:hAnsi="方正小标宋_GBK" w:eastAsia="方正小标宋_GBK" w:cs="方正小标宋_GBK"/>
          <w:color w:val="000000"/>
          <w:sz w:val="36"/>
        </w:rPr>
        <w:t>单位固定资产占用情况表</w:t>
      </w:r>
    </w:p>
    <w:p>
      <w:pPr>
        <w:ind w:firstLine="640"/>
        <w:rPr>
          <w:lang w:val="uk-UA"/>
        </w:rPr>
      </w:pPr>
    </w:p>
    <w:tbl>
      <w:tblPr>
        <w:tblStyle w:val="10"/>
        <w:tblW w:w="0" w:type="auto"/>
        <w:tblInd w:w="87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50" w:type="dxa"/>
          <w:bottom w:w="0" w:type="dxa"/>
          <w:right w:w="50" w:type="dxa"/>
        </w:tblCellMar>
      </w:tblPr>
      <w:tblGrid>
        <w:gridCol w:w="3463"/>
        <w:gridCol w:w="3599"/>
        <w:gridCol w:w="56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0" w:type="dxa"/>
            <w:bottom w:w="0" w:type="dxa"/>
            <w:right w:w="50" w:type="dxa"/>
          </w:tblCellMar>
        </w:tblPrEx>
        <w:trPr>
          <w:tblHeader/>
        </w:trPr>
        <w:tc>
          <w:tcPr>
            <w:tcW w:w="3463" w:type="dxa"/>
            <w:tcBorders>
              <w:top w:val="single" w:color="FFFFFF" w:sz="2" w:space="0"/>
              <w:left w:val="single" w:color="FFFFFF" w:sz="2" w:space="0"/>
              <w:right w:val="single" w:color="FFFFFF" w:sz="2" w:space="0"/>
            </w:tcBorders>
            <w:vAlign w:val="center"/>
          </w:tcPr>
          <w:p>
            <w:pPr>
              <w:rPr>
                <w:rFonts w:ascii="方正小标宋_GBK" w:hAnsi="方正小标宋_GBK" w:eastAsia="方正小标宋_GBK" w:cs="方正小标宋_GBK"/>
              </w:rPr>
            </w:pPr>
            <w:r>
              <w:rPr>
                <w:rFonts w:ascii="方正小标宋_GBK" w:hAnsi="方正小标宋_GBK" w:eastAsia="方正小标宋_GBK" w:cs="方正小标宋_GBK"/>
              </w:rPr>
              <w:t>501608霸州市东段乡</w:t>
            </w:r>
            <w:r>
              <w:rPr>
                <w:rFonts w:hint="eastAsia" w:ascii="方正小标宋_GBK" w:hAnsi="方正小标宋_GBK" w:eastAsia="方正小标宋_GBK" w:cs="方正小标宋_GBK"/>
                <w:lang w:eastAsia="zh-CN"/>
              </w:rPr>
              <w:t>第二小学</w:t>
            </w:r>
          </w:p>
        </w:tc>
        <w:tc>
          <w:tcPr>
            <w:tcW w:w="9269" w:type="dxa"/>
            <w:gridSpan w:val="2"/>
            <w:tcBorders>
              <w:top w:val="single" w:color="FFFFFF" w:sz="2" w:space="0"/>
              <w:left w:val="single" w:color="FFFFFF" w:sz="2" w:space="0"/>
              <w:right w:val="single" w:color="FFFFFF" w:sz="2" w:space="0"/>
            </w:tcBorders>
            <w:vAlign w:val="center"/>
          </w:tcPr>
          <w:p>
            <w:pPr>
              <w:jc w:val="right"/>
              <w:rPr>
                <w:rFonts w:ascii="方正小标宋_GBK" w:hAnsi="方正小标宋_GBK" w:eastAsia="方正小标宋_GBK" w:cs="方正小标宋_GBK"/>
              </w:rPr>
            </w:pPr>
            <w:r>
              <w:rPr>
                <w:rFonts w:ascii="方正小标宋_GBK" w:hAnsi="方正小标宋_GBK" w:eastAsia="方正小标宋_GBK" w:cs="方正小标宋_GBK"/>
              </w:rPr>
              <w:t>截止时间：2022-12-31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0" w:type="dxa"/>
            <w:bottom w:w="0" w:type="dxa"/>
            <w:right w:w="50" w:type="dxa"/>
          </w:tblCellMar>
        </w:tblPrEx>
        <w:trPr>
          <w:tblHeader/>
        </w:trPr>
        <w:tc>
          <w:tcPr>
            <w:tcW w:w="3463"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项   目</w:t>
            </w:r>
          </w:p>
        </w:tc>
        <w:tc>
          <w:tcPr>
            <w:tcW w:w="3599"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数量</w:t>
            </w:r>
          </w:p>
        </w:tc>
        <w:tc>
          <w:tcPr>
            <w:tcW w:w="5670"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价值（金额单位：万元）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0" w:type="dxa"/>
            <w:bottom w:w="0" w:type="dxa"/>
            <w:right w:w="50" w:type="dxa"/>
          </w:tblCellMar>
        </w:tblPrEx>
        <w:tc>
          <w:tcPr>
            <w:tcW w:w="3463" w:type="dxa"/>
            <w:vAlign w:val="center"/>
          </w:tcPr>
          <w:p>
            <w:pPr>
              <w:rPr>
                <w:rFonts w:ascii="宋体" w:hAnsi="宋体" w:eastAsia="宋体" w:cs="宋体"/>
                <w:sz w:val="22"/>
                <w:szCs w:val="22"/>
                <w:lang w:eastAsia="zh-CN"/>
              </w:rPr>
            </w:pPr>
            <w:r>
              <w:rPr>
                <w:rFonts w:hint="eastAsia" w:ascii="方正书宋_GBK" w:hAnsi="方正书宋_GBK" w:eastAsia="方正书宋_GBK" w:cs="方正书宋_GBK"/>
                <w:kern w:val="2"/>
                <w:sz w:val="21"/>
                <w:szCs w:val="22"/>
                <w:lang w:eastAsia="zh-CN"/>
              </w:rPr>
              <w:t>资产总额</w:t>
            </w:r>
          </w:p>
        </w:tc>
        <w:tc>
          <w:tcPr>
            <w:tcW w:w="3599" w:type="dxa"/>
            <w:vAlign w:val="center"/>
          </w:tcPr>
          <w:p>
            <w:pPr>
              <w:jc w:val="center"/>
              <w:rPr>
                <w:rFonts w:ascii="宋体" w:hAnsi="宋体" w:eastAsia="宋体" w:cs="宋体"/>
                <w:sz w:val="22"/>
                <w:szCs w:val="22"/>
                <w:lang w:eastAsia="zh-CN"/>
              </w:rPr>
            </w:pPr>
            <w:r>
              <w:rPr>
                <w:rFonts w:hint="eastAsia" w:ascii="宋体" w:hAnsi="宋体" w:eastAsia="宋体" w:cs="宋体"/>
                <w:sz w:val="22"/>
                <w:szCs w:val="22"/>
                <w:lang w:eastAsia="zh-CN"/>
              </w:rPr>
              <w:t>——</w:t>
            </w:r>
          </w:p>
        </w:tc>
        <w:tc>
          <w:tcPr>
            <w:tcW w:w="5670" w:type="dxa"/>
            <w:vAlign w:val="center"/>
          </w:tcPr>
          <w:p>
            <w:pPr>
              <w:jc w:val="right"/>
              <w:rPr>
                <w:rFonts w:ascii="方正书宋_GBK" w:hAnsi="方正书宋_GBK" w:eastAsia="方正书宋_GBK" w:cs="方正书宋_GBK"/>
                <w:kern w:val="2"/>
                <w:sz w:val="21"/>
                <w:szCs w:val="22"/>
                <w:lang w:eastAsia="zh-CN"/>
              </w:rPr>
            </w:pPr>
            <w:r>
              <w:rPr>
                <w:rFonts w:ascii="方正书宋_GBK" w:hAnsi="方正书宋_GBK" w:eastAsia="方正书宋_GBK" w:cs="方正书宋_GBK"/>
                <w:kern w:val="2"/>
                <w:sz w:val="21"/>
                <w:szCs w:val="22"/>
                <w:lang w:eastAsia="zh-CN"/>
              </w:rPr>
              <w:t>161.08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0" w:type="dxa"/>
            <w:bottom w:w="0" w:type="dxa"/>
            <w:right w:w="50" w:type="dxa"/>
          </w:tblCellMar>
        </w:tblPrEx>
        <w:tc>
          <w:tcPr>
            <w:tcW w:w="3463" w:type="dxa"/>
            <w:vAlign w:val="center"/>
          </w:tcPr>
          <w:p>
            <w:pPr>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1、房屋（平方米）</w:t>
            </w:r>
          </w:p>
        </w:tc>
        <w:tc>
          <w:tcPr>
            <w:tcW w:w="3599" w:type="dxa"/>
            <w:vAlign w:val="center"/>
          </w:tcPr>
          <w:p>
            <w:pPr>
              <w:jc w:val="center"/>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0</w:t>
            </w:r>
          </w:p>
        </w:tc>
        <w:tc>
          <w:tcPr>
            <w:tcW w:w="5670" w:type="dxa"/>
            <w:vAlign w:val="center"/>
          </w:tcPr>
          <w:p>
            <w:pPr>
              <w:jc w:val="right"/>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0" w:type="dxa"/>
            <w:bottom w:w="0" w:type="dxa"/>
            <w:right w:w="50" w:type="dxa"/>
          </w:tblCellMar>
        </w:tblPrEx>
        <w:tc>
          <w:tcPr>
            <w:tcW w:w="3463" w:type="dxa"/>
            <w:vAlign w:val="center"/>
          </w:tcPr>
          <w:p>
            <w:pPr>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 xml:space="preserve">   其中：办公用房（平方米）</w:t>
            </w:r>
          </w:p>
        </w:tc>
        <w:tc>
          <w:tcPr>
            <w:tcW w:w="3599" w:type="dxa"/>
            <w:vAlign w:val="center"/>
          </w:tcPr>
          <w:p>
            <w:pPr>
              <w:jc w:val="center"/>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0</w:t>
            </w:r>
          </w:p>
        </w:tc>
        <w:tc>
          <w:tcPr>
            <w:tcW w:w="5670" w:type="dxa"/>
            <w:vAlign w:val="center"/>
          </w:tcPr>
          <w:p>
            <w:pPr>
              <w:jc w:val="right"/>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0" w:type="dxa"/>
            <w:bottom w:w="0" w:type="dxa"/>
            <w:right w:w="50" w:type="dxa"/>
          </w:tblCellMar>
        </w:tblPrEx>
        <w:tc>
          <w:tcPr>
            <w:tcW w:w="3463" w:type="dxa"/>
            <w:vAlign w:val="center"/>
          </w:tcPr>
          <w:p>
            <w:pPr>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2、车辆（台、辆）</w:t>
            </w:r>
          </w:p>
        </w:tc>
        <w:tc>
          <w:tcPr>
            <w:tcW w:w="3599" w:type="dxa"/>
            <w:vAlign w:val="center"/>
          </w:tcPr>
          <w:p>
            <w:pPr>
              <w:jc w:val="center"/>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0</w:t>
            </w:r>
          </w:p>
        </w:tc>
        <w:tc>
          <w:tcPr>
            <w:tcW w:w="5670" w:type="dxa"/>
            <w:vAlign w:val="center"/>
          </w:tcPr>
          <w:p>
            <w:pPr>
              <w:jc w:val="right"/>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0" w:type="dxa"/>
            <w:bottom w:w="0" w:type="dxa"/>
            <w:right w:w="50" w:type="dxa"/>
          </w:tblCellMar>
        </w:tblPrEx>
        <w:tc>
          <w:tcPr>
            <w:tcW w:w="3463" w:type="dxa"/>
            <w:vAlign w:val="center"/>
          </w:tcPr>
          <w:p>
            <w:pPr>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3、单价在20万元以上的设备</w:t>
            </w:r>
          </w:p>
        </w:tc>
        <w:tc>
          <w:tcPr>
            <w:tcW w:w="3599" w:type="dxa"/>
            <w:vAlign w:val="center"/>
          </w:tcPr>
          <w:p>
            <w:pPr>
              <w:jc w:val="center"/>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0</w:t>
            </w:r>
          </w:p>
        </w:tc>
        <w:tc>
          <w:tcPr>
            <w:tcW w:w="5670" w:type="dxa"/>
            <w:vAlign w:val="center"/>
          </w:tcPr>
          <w:p>
            <w:pPr>
              <w:jc w:val="right"/>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50" w:type="dxa"/>
            <w:bottom w:w="0" w:type="dxa"/>
            <w:right w:w="50" w:type="dxa"/>
          </w:tblCellMar>
        </w:tblPrEx>
        <w:tc>
          <w:tcPr>
            <w:tcW w:w="3463" w:type="dxa"/>
            <w:vAlign w:val="center"/>
          </w:tcPr>
          <w:p>
            <w:pPr>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4、其他固定资产</w:t>
            </w:r>
          </w:p>
        </w:tc>
        <w:tc>
          <w:tcPr>
            <w:tcW w:w="3599" w:type="dxa"/>
            <w:vAlign w:val="center"/>
          </w:tcPr>
          <w:p>
            <w:pPr>
              <w:jc w:val="center"/>
              <w:rPr>
                <w:rFonts w:ascii="宋体" w:hAnsi="宋体" w:eastAsia="宋体" w:cs="宋体"/>
                <w:sz w:val="22"/>
                <w:szCs w:val="22"/>
                <w:lang w:eastAsia="zh-CN"/>
              </w:rPr>
            </w:pPr>
            <w:r>
              <w:rPr>
                <w:rFonts w:ascii="方正书宋_GBK" w:hAnsi="方正书宋_GBK" w:eastAsia="方正书宋_GBK" w:cs="方正书宋_GBK"/>
                <w:kern w:val="2"/>
                <w:sz w:val="21"/>
                <w:szCs w:val="22"/>
                <w:lang w:eastAsia="zh-CN"/>
              </w:rPr>
              <w:t>1636</w:t>
            </w:r>
          </w:p>
        </w:tc>
        <w:tc>
          <w:tcPr>
            <w:tcW w:w="5670" w:type="dxa"/>
            <w:vAlign w:val="center"/>
          </w:tcPr>
          <w:p>
            <w:pPr>
              <w:jc w:val="right"/>
              <w:rPr>
                <w:rFonts w:ascii="宋体" w:hAnsi="宋体" w:eastAsia="宋体" w:cs="宋体"/>
                <w:sz w:val="22"/>
                <w:szCs w:val="22"/>
                <w:lang w:eastAsia="zh-CN"/>
              </w:rPr>
            </w:pPr>
            <w:r>
              <w:rPr>
                <w:rFonts w:ascii="方正书宋_GBK" w:hAnsi="方正书宋_GBK" w:eastAsia="方正书宋_GBK" w:cs="方正书宋_GBK"/>
                <w:kern w:val="2"/>
                <w:sz w:val="21"/>
                <w:szCs w:val="22"/>
                <w:lang w:eastAsia="zh-CN"/>
              </w:rPr>
              <w:t>161.08</w:t>
            </w:r>
          </w:p>
        </w:tc>
      </w:tr>
    </w:tbl>
    <w:p>
      <w:pPr>
        <w:ind w:firstLine="640"/>
        <w:rPr>
          <w:lang w:val="uk-UA"/>
        </w:rPr>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单位运行费：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00" w:usb3="00000000" w:csb0="00040000" w:csb1="00000000"/>
  </w:font>
  <w:font w:name="方正楷体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23</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2cf0bdde-53da-440c-b208-c7ff42eaa412"/>
  </w:docVars>
  <w:rsids>
    <w:rsidRoot w:val="004A1168"/>
    <w:rsid w:val="00012A57"/>
    <w:rsid w:val="000B7353"/>
    <w:rsid w:val="000C1CD7"/>
    <w:rsid w:val="000E2CA7"/>
    <w:rsid w:val="001175A1"/>
    <w:rsid w:val="00136014"/>
    <w:rsid w:val="001F67F8"/>
    <w:rsid w:val="002F010E"/>
    <w:rsid w:val="003A5231"/>
    <w:rsid w:val="003D654A"/>
    <w:rsid w:val="003F0BE7"/>
    <w:rsid w:val="0043473D"/>
    <w:rsid w:val="00447B79"/>
    <w:rsid w:val="00457D0B"/>
    <w:rsid w:val="00464BFB"/>
    <w:rsid w:val="004A1168"/>
    <w:rsid w:val="005111B0"/>
    <w:rsid w:val="005B7AFC"/>
    <w:rsid w:val="00603BA2"/>
    <w:rsid w:val="00605F7E"/>
    <w:rsid w:val="006858AF"/>
    <w:rsid w:val="00686F3B"/>
    <w:rsid w:val="006D6C4D"/>
    <w:rsid w:val="006F70C6"/>
    <w:rsid w:val="00722913"/>
    <w:rsid w:val="008C3D77"/>
    <w:rsid w:val="00972810"/>
    <w:rsid w:val="00991EB1"/>
    <w:rsid w:val="009B55A2"/>
    <w:rsid w:val="00A80758"/>
    <w:rsid w:val="00A9064A"/>
    <w:rsid w:val="00A915A7"/>
    <w:rsid w:val="00AA1FB3"/>
    <w:rsid w:val="00AD578B"/>
    <w:rsid w:val="00AE5BEF"/>
    <w:rsid w:val="00B6757F"/>
    <w:rsid w:val="00BB35A7"/>
    <w:rsid w:val="00BE0A5C"/>
    <w:rsid w:val="00C32909"/>
    <w:rsid w:val="00C57197"/>
    <w:rsid w:val="00C672B5"/>
    <w:rsid w:val="00C742EA"/>
    <w:rsid w:val="00CA51B9"/>
    <w:rsid w:val="00CC7E62"/>
    <w:rsid w:val="00CD46FE"/>
    <w:rsid w:val="00D513F4"/>
    <w:rsid w:val="00D64AD2"/>
    <w:rsid w:val="00D93167"/>
    <w:rsid w:val="00D9444E"/>
    <w:rsid w:val="00DD0F76"/>
    <w:rsid w:val="00E12C51"/>
    <w:rsid w:val="00E20116"/>
    <w:rsid w:val="00E3061C"/>
    <w:rsid w:val="00E52F1B"/>
    <w:rsid w:val="00ED5F21"/>
    <w:rsid w:val="00EF51BF"/>
    <w:rsid w:val="00F22F1B"/>
    <w:rsid w:val="00FC209C"/>
    <w:rsid w:val="087C0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26</Pages>
  <Words>6089</Words>
  <Characters>7049</Characters>
  <Lines>67</Lines>
  <Paragraphs>19</Paragraphs>
  <TotalTime>147</TotalTime>
  <ScaleCrop>false</ScaleCrop>
  <LinksUpToDate>false</LinksUpToDate>
  <CharactersWithSpaces>7217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dcterms:modified xsi:type="dcterms:W3CDTF">2023-02-28T08:00:38Z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D1A3B44461FA4D3480A6F8D4DFABA72B</vt:lpwstr>
  </property>
</Properties>
</file>